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67D" w:rsidRDefault="003C367D" w:rsidP="003C367D">
      <w:pPr>
        <w:pStyle w:val="NormalWeb"/>
        <w:spacing w:before="0" w:beforeAutospacing="0" w:after="0" w:afterAutospacing="0" w:line="480" w:lineRule="auto"/>
        <w:ind w:firstLine="720"/>
        <w:jc w:val="center"/>
        <w:rPr>
          <w:color w:val="0E101A"/>
        </w:rPr>
      </w:pPr>
    </w:p>
    <w:p w:rsidR="003C367D" w:rsidRDefault="003C367D" w:rsidP="003C367D">
      <w:pPr>
        <w:pStyle w:val="NormalWeb"/>
        <w:tabs>
          <w:tab w:val="left" w:pos="3615"/>
        </w:tabs>
        <w:spacing w:before="0" w:beforeAutospacing="0" w:after="0" w:afterAutospacing="0" w:line="480" w:lineRule="auto"/>
        <w:ind w:firstLine="720"/>
        <w:rPr>
          <w:color w:val="0E101A"/>
        </w:rPr>
      </w:pPr>
      <w:r>
        <w:rPr>
          <w:color w:val="0E101A"/>
        </w:rPr>
        <w:tab/>
      </w:r>
    </w:p>
    <w:p w:rsidR="003C367D" w:rsidRDefault="003C367D" w:rsidP="003C367D">
      <w:pPr>
        <w:pStyle w:val="NormalWeb"/>
        <w:spacing w:before="0" w:beforeAutospacing="0" w:after="0" w:afterAutospacing="0" w:line="480" w:lineRule="auto"/>
        <w:ind w:firstLine="720"/>
        <w:jc w:val="center"/>
        <w:rPr>
          <w:color w:val="0E101A"/>
        </w:rPr>
      </w:pPr>
    </w:p>
    <w:p w:rsidR="003C367D" w:rsidRDefault="003C367D" w:rsidP="003C367D">
      <w:pPr>
        <w:pStyle w:val="NormalWeb"/>
        <w:spacing w:before="0" w:beforeAutospacing="0" w:after="0" w:afterAutospacing="0" w:line="480" w:lineRule="auto"/>
        <w:ind w:firstLine="720"/>
        <w:jc w:val="center"/>
        <w:rPr>
          <w:color w:val="0E101A"/>
        </w:rPr>
      </w:pPr>
    </w:p>
    <w:p w:rsidR="003C367D" w:rsidRDefault="003C367D" w:rsidP="003C367D">
      <w:pPr>
        <w:pStyle w:val="NormalWeb"/>
        <w:spacing w:before="0" w:beforeAutospacing="0" w:after="0" w:afterAutospacing="0" w:line="480" w:lineRule="auto"/>
        <w:ind w:firstLine="720"/>
        <w:jc w:val="center"/>
        <w:rPr>
          <w:color w:val="0E101A"/>
        </w:rPr>
      </w:pPr>
      <w:r w:rsidRPr="00DB39F5">
        <w:rPr>
          <w:color w:val="0E101A"/>
        </w:rPr>
        <w:t>Pitts vs. Florida</w:t>
      </w:r>
    </w:p>
    <w:p w:rsidR="003C367D" w:rsidRDefault="003C367D" w:rsidP="003C367D">
      <w:pPr>
        <w:pStyle w:val="NormalWeb"/>
        <w:spacing w:before="0" w:beforeAutospacing="0" w:after="0" w:afterAutospacing="0" w:line="480" w:lineRule="auto"/>
        <w:ind w:firstLine="720"/>
        <w:jc w:val="center"/>
        <w:rPr>
          <w:color w:val="0E101A"/>
        </w:rPr>
      </w:pPr>
      <w:r>
        <w:rPr>
          <w:color w:val="0E101A"/>
        </w:rPr>
        <w:t>Student Name</w:t>
      </w:r>
    </w:p>
    <w:p w:rsidR="003C367D" w:rsidRDefault="003C367D" w:rsidP="003C367D">
      <w:pPr>
        <w:pStyle w:val="NormalWeb"/>
        <w:spacing w:before="0" w:beforeAutospacing="0" w:after="0" w:afterAutospacing="0" w:line="480" w:lineRule="auto"/>
        <w:ind w:firstLine="720"/>
        <w:jc w:val="center"/>
        <w:rPr>
          <w:color w:val="0E101A"/>
        </w:rPr>
      </w:pPr>
      <w:r>
        <w:rPr>
          <w:color w:val="0E101A"/>
        </w:rPr>
        <w:t>Institution Affiliation</w:t>
      </w:r>
    </w:p>
    <w:p w:rsidR="003C367D" w:rsidRDefault="003C367D" w:rsidP="003C367D">
      <w:pPr>
        <w:pStyle w:val="NormalWeb"/>
        <w:spacing w:before="0" w:beforeAutospacing="0" w:after="0" w:afterAutospacing="0" w:line="480" w:lineRule="auto"/>
        <w:ind w:firstLine="720"/>
        <w:jc w:val="center"/>
        <w:rPr>
          <w:color w:val="0E101A"/>
        </w:rPr>
      </w:pPr>
      <w:r>
        <w:rPr>
          <w:color w:val="0E101A"/>
        </w:rPr>
        <w:t>Professor</w:t>
      </w:r>
    </w:p>
    <w:p w:rsidR="003C367D" w:rsidRDefault="003C367D" w:rsidP="003C367D">
      <w:pPr>
        <w:pStyle w:val="NormalWeb"/>
        <w:spacing w:before="0" w:beforeAutospacing="0" w:after="0" w:afterAutospacing="0" w:line="480" w:lineRule="auto"/>
        <w:ind w:firstLine="720"/>
        <w:jc w:val="center"/>
        <w:rPr>
          <w:color w:val="0E101A"/>
        </w:rPr>
      </w:pPr>
      <w:r>
        <w:rPr>
          <w:color w:val="0E101A"/>
        </w:rPr>
        <w:t>Course</w:t>
      </w:r>
    </w:p>
    <w:p w:rsidR="003C367D" w:rsidRDefault="003C367D" w:rsidP="003C367D">
      <w:pPr>
        <w:pStyle w:val="NormalWeb"/>
        <w:spacing w:before="0" w:beforeAutospacing="0" w:after="0" w:afterAutospacing="0" w:line="480" w:lineRule="auto"/>
        <w:ind w:firstLine="720"/>
        <w:jc w:val="center"/>
        <w:rPr>
          <w:color w:val="0E101A"/>
        </w:rPr>
      </w:pPr>
      <w:r>
        <w:rPr>
          <w:color w:val="0E101A"/>
        </w:rPr>
        <w:t>Date</w:t>
      </w:r>
    </w:p>
    <w:p w:rsidR="003C367D" w:rsidRDefault="003C367D" w:rsidP="003C367D">
      <w:pPr>
        <w:pStyle w:val="NormalWeb"/>
        <w:spacing w:before="0" w:beforeAutospacing="0" w:after="0" w:afterAutospacing="0" w:line="480" w:lineRule="auto"/>
        <w:ind w:firstLine="720"/>
        <w:jc w:val="center"/>
        <w:rPr>
          <w:color w:val="0E101A"/>
        </w:rPr>
      </w:pPr>
    </w:p>
    <w:p w:rsidR="003C367D" w:rsidRDefault="003C367D" w:rsidP="003C367D">
      <w:pPr>
        <w:pStyle w:val="NormalWeb"/>
        <w:spacing w:before="0" w:beforeAutospacing="0" w:after="0" w:afterAutospacing="0" w:line="480" w:lineRule="auto"/>
        <w:ind w:firstLine="720"/>
        <w:jc w:val="center"/>
        <w:rPr>
          <w:color w:val="0E101A"/>
        </w:rPr>
      </w:pPr>
    </w:p>
    <w:p w:rsidR="003C367D" w:rsidRDefault="003C367D" w:rsidP="003C367D">
      <w:pPr>
        <w:pStyle w:val="NormalWeb"/>
        <w:spacing w:before="0" w:beforeAutospacing="0" w:after="0" w:afterAutospacing="0" w:line="480" w:lineRule="auto"/>
        <w:ind w:firstLine="720"/>
        <w:jc w:val="center"/>
        <w:rPr>
          <w:color w:val="0E101A"/>
        </w:rPr>
      </w:pPr>
    </w:p>
    <w:p w:rsidR="003C367D" w:rsidRDefault="003C367D" w:rsidP="003C367D">
      <w:pPr>
        <w:pStyle w:val="NormalWeb"/>
        <w:spacing w:before="0" w:beforeAutospacing="0" w:after="0" w:afterAutospacing="0" w:line="480" w:lineRule="auto"/>
        <w:ind w:firstLine="720"/>
        <w:jc w:val="center"/>
        <w:rPr>
          <w:color w:val="0E101A"/>
        </w:rPr>
      </w:pPr>
    </w:p>
    <w:p w:rsidR="003C367D" w:rsidRDefault="003C367D" w:rsidP="003C367D">
      <w:pPr>
        <w:pStyle w:val="NormalWeb"/>
        <w:spacing w:before="0" w:beforeAutospacing="0" w:after="0" w:afterAutospacing="0" w:line="480" w:lineRule="auto"/>
        <w:ind w:firstLine="720"/>
        <w:jc w:val="center"/>
        <w:rPr>
          <w:color w:val="0E101A"/>
        </w:rPr>
      </w:pPr>
    </w:p>
    <w:p w:rsidR="003C367D" w:rsidRDefault="003C367D" w:rsidP="003C367D">
      <w:pPr>
        <w:pStyle w:val="NormalWeb"/>
        <w:spacing w:before="0" w:beforeAutospacing="0" w:after="0" w:afterAutospacing="0" w:line="480" w:lineRule="auto"/>
        <w:ind w:firstLine="720"/>
        <w:jc w:val="center"/>
        <w:rPr>
          <w:color w:val="0E101A"/>
        </w:rPr>
      </w:pPr>
    </w:p>
    <w:p w:rsidR="003C367D" w:rsidRDefault="003C367D" w:rsidP="003C367D">
      <w:pPr>
        <w:pStyle w:val="NormalWeb"/>
        <w:spacing w:before="0" w:beforeAutospacing="0" w:after="0" w:afterAutospacing="0" w:line="480" w:lineRule="auto"/>
        <w:ind w:firstLine="720"/>
        <w:jc w:val="center"/>
        <w:rPr>
          <w:color w:val="0E101A"/>
        </w:rPr>
      </w:pPr>
      <w:r>
        <w:rPr>
          <w:color w:val="0E101A"/>
        </w:rPr>
        <w:br w:type="page"/>
      </w:r>
    </w:p>
    <w:p w:rsidR="003C367D" w:rsidRPr="00DB39F5" w:rsidRDefault="00DB39F5" w:rsidP="003C367D">
      <w:pPr>
        <w:pStyle w:val="NormalWeb"/>
        <w:spacing w:before="0" w:beforeAutospacing="0" w:after="0" w:afterAutospacing="0" w:line="480" w:lineRule="auto"/>
        <w:ind w:firstLine="720"/>
        <w:jc w:val="center"/>
        <w:rPr>
          <w:color w:val="0E101A"/>
        </w:rPr>
      </w:pPr>
      <w:r w:rsidRPr="00DB39F5">
        <w:rPr>
          <w:color w:val="0E101A"/>
        </w:rPr>
        <w:lastRenderedPageBreak/>
        <w:t xml:space="preserve">Pitts </w:t>
      </w:r>
      <w:r w:rsidRPr="00DB39F5">
        <w:rPr>
          <w:color w:val="0E101A"/>
        </w:rPr>
        <w:t>vs.</w:t>
      </w:r>
      <w:r w:rsidRPr="00DB39F5">
        <w:rPr>
          <w:color w:val="0E101A"/>
        </w:rPr>
        <w:t xml:space="preserve"> Florida</w:t>
      </w:r>
    </w:p>
    <w:p w:rsidR="00DB39F5" w:rsidRPr="00DB39F5" w:rsidRDefault="00DB39F5" w:rsidP="00DB39F5">
      <w:pPr>
        <w:pStyle w:val="NormalWeb"/>
        <w:spacing w:before="0" w:beforeAutospacing="0" w:after="0" w:afterAutospacing="0" w:line="480" w:lineRule="auto"/>
        <w:ind w:firstLine="720"/>
        <w:jc w:val="both"/>
        <w:rPr>
          <w:color w:val="0E101A"/>
        </w:rPr>
      </w:pPr>
      <w:r w:rsidRPr="00DB39F5">
        <w:rPr>
          <w:color w:val="0E101A"/>
        </w:rPr>
        <w:t xml:space="preserve">The case of Pitts </w:t>
      </w:r>
      <w:r w:rsidRPr="00DB39F5">
        <w:rPr>
          <w:color w:val="0E101A"/>
        </w:rPr>
        <w:t>vs.</w:t>
      </w:r>
      <w:r w:rsidRPr="00DB39F5">
        <w:rPr>
          <w:color w:val="0E101A"/>
        </w:rPr>
        <w:t xml:space="preserve"> the Florida court is a murder case that two African-American, Pitts and Lee were charged with the murder of a Jesse L Burkett and Grover Floyd Jr</w:t>
      </w:r>
      <w:r w:rsidR="00FD60F0">
        <w:rPr>
          <w:color w:val="0E101A"/>
        </w:rPr>
        <w:t>.</w:t>
      </w:r>
      <w:r w:rsidRPr="00DB39F5">
        <w:rPr>
          <w:color w:val="0E101A"/>
        </w:rPr>
        <w:t>, who were two white filling station attendants. The investigation that was carried out shows that both Burkett and Floyd were abducted before the down of 1st, August 1963 from the filling station from Highland View town in Florida. Their bodies were found two days later. This case is referred to because of its Civil Rights implications and because of it involved a death row of two inmates who were later exonerated. The prosecutor is said to have tampered with the evidence so that the two men can be sentenced to death by an all-white jury</w:t>
      </w:r>
      <w:r w:rsidRPr="00DB39F5">
        <w:rPr>
          <w:color w:val="0E101A"/>
        </w:rPr>
        <w:t>, (</w:t>
      </w:r>
      <w:r w:rsidRPr="00DB39F5">
        <w:rPr>
          <w:color w:val="222222"/>
          <w:shd w:val="clear" w:color="auto" w:fill="FFFFFF"/>
        </w:rPr>
        <w:t>Carlyle et al, 1995)</w:t>
      </w:r>
      <w:r w:rsidRPr="00DB39F5">
        <w:rPr>
          <w:color w:val="0E101A"/>
        </w:rPr>
        <w:t>. When this was realized, the two men were jailed for 12 years before being pardoned by Florida Governor, Reubin Askew, back in 1975.</w:t>
      </w:r>
    </w:p>
    <w:p w:rsidR="00DB39F5" w:rsidRPr="00DB39F5" w:rsidRDefault="00DB39F5" w:rsidP="00DB39F5">
      <w:pPr>
        <w:pStyle w:val="NormalWeb"/>
        <w:spacing w:before="0" w:beforeAutospacing="0" w:after="0" w:afterAutospacing="0" w:line="480" w:lineRule="auto"/>
        <w:ind w:firstLine="720"/>
        <w:jc w:val="both"/>
        <w:rPr>
          <w:color w:val="0E101A"/>
        </w:rPr>
      </w:pPr>
      <w:r w:rsidRPr="00DB39F5">
        <w:rPr>
          <w:color w:val="0E101A"/>
        </w:rPr>
        <w:t>Before the bodies were found, Pitts and Lee were arrested and put in custody for questioning simply because they were in filling station, around the time when the t</w:t>
      </w:r>
      <w:r w:rsidR="00FD60F0">
        <w:rPr>
          <w:color w:val="0E101A"/>
        </w:rPr>
        <w:t xml:space="preserve">wo attendants disappeared. The reason why </w:t>
      </w:r>
      <w:r w:rsidRPr="00DB39F5">
        <w:rPr>
          <w:color w:val="0E101A"/>
        </w:rPr>
        <w:t>Pitts</w:t>
      </w:r>
      <w:r w:rsidR="00FD60F0">
        <w:rPr>
          <w:color w:val="0E101A"/>
        </w:rPr>
        <w:t xml:space="preserve"> was a </w:t>
      </w:r>
      <w:r w:rsidRPr="00DB39F5">
        <w:rPr>
          <w:color w:val="0E101A"/>
        </w:rPr>
        <w:t xml:space="preserve">prime suspect is because he had been there like three times the preceding hour that the two filling station attendants disappeared. He was a 19-year-old Army private on summer </w:t>
      </w:r>
      <w:r w:rsidR="00FD60F0" w:rsidRPr="00DB39F5">
        <w:rPr>
          <w:color w:val="0E101A"/>
        </w:rPr>
        <w:t>maneuvers</w:t>
      </w:r>
      <w:r w:rsidRPr="00DB39F5">
        <w:rPr>
          <w:color w:val="0E101A"/>
        </w:rPr>
        <w:t xml:space="preserve"> and had bivouacked quite recently west of Highland View. On the evening of July 31, he and another soldier, Lambson Smith, Jr., had driven a 1948 Ford obtained from another officer into Highland View. The vehicle had overheated and they </w:t>
      </w:r>
      <w:r w:rsidR="00FD60F0" w:rsidRPr="00DB39F5">
        <w:rPr>
          <w:color w:val="0E101A"/>
        </w:rPr>
        <w:t>maneuvered</w:t>
      </w:r>
      <w:r w:rsidRPr="00DB39F5">
        <w:rPr>
          <w:color w:val="0E101A"/>
        </w:rPr>
        <w:t xml:space="preserve"> into Skipper's Mo-Jo needing a radiator hose, however without money to pay for it.</w:t>
      </w:r>
    </w:p>
    <w:p w:rsidR="00DB39F5" w:rsidRPr="00DB39F5" w:rsidRDefault="00DB39F5" w:rsidP="003C367D">
      <w:pPr>
        <w:pStyle w:val="NormalWeb"/>
        <w:spacing w:before="0" w:beforeAutospacing="0" w:after="0" w:afterAutospacing="0" w:line="480" w:lineRule="auto"/>
        <w:ind w:firstLine="720"/>
        <w:jc w:val="both"/>
        <w:rPr>
          <w:color w:val="0E101A"/>
        </w:rPr>
      </w:pPr>
      <w:r w:rsidRPr="00DB39F5">
        <w:rPr>
          <w:color w:val="0E101A"/>
        </w:rPr>
        <w:t>The station administrator, Richard Skipper, consented to help them by replacing the hose on the soldiers' guarantee to return with cash</w:t>
      </w:r>
      <w:r w:rsidRPr="00DB39F5">
        <w:rPr>
          <w:color w:val="0E101A"/>
        </w:rPr>
        <w:t>, (</w:t>
      </w:r>
      <w:r w:rsidRPr="00DB39F5">
        <w:rPr>
          <w:color w:val="0E101A"/>
        </w:rPr>
        <w:t xml:space="preserve">. It was Army payday. Pitts and Smith left a jack and extra tire as a guarantee that will get back as soon as they have the cash ready and, a couple of hours after the fact, returned as concurred with the full payments. The skipper had gone, however, one of the chaperons called him at home. Skipper came back to the station, got the money for Pitts' </w:t>
      </w:r>
      <w:r w:rsidRPr="00DB39F5">
        <w:rPr>
          <w:color w:val="0E101A"/>
        </w:rPr>
        <w:lastRenderedPageBreak/>
        <w:t>check, a total of $74.94, a month's compensation —</w:t>
      </w:r>
      <w:r w:rsidRPr="00DB39F5">
        <w:rPr>
          <w:color w:val="0E101A"/>
        </w:rPr>
        <w:t xml:space="preserve"> and restored the jack and spare</w:t>
      </w:r>
      <w:r w:rsidRPr="00DB39F5">
        <w:rPr>
          <w:color w:val="0E101A"/>
        </w:rPr>
        <w:t xml:space="preserve"> tire to Pitt and Lee.</w:t>
      </w:r>
    </w:p>
    <w:p w:rsidR="00DB39F5" w:rsidRPr="00DB39F5" w:rsidRDefault="00DB39F5" w:rsidP="003C367D">
      <w:pPr>
        <w:pStyle w:val="NormalWeb"/>
        <w:spacing w:before="0" w:beforeAutospacing="0" w:after="0" w:afterAutospacing="0" w:line="480" w:lineRule="auto"/>
        <w:ind w:firstLine="720"/>
        <w:jc w:val="both"/>
        <w:rPr>
          <w:color w:val="0E101A"/>
        </w:rPr>
      </w:pPr>
      <w:r w:rsidRPr="00DB39F5">
        <w:rPr>
          <w:color w:val="0E101A"/>
        </w:rPr>
        <w:t>Pitts and Smith went from the station to a Bash at a shanty operating at a profit area that is close by Port St. Joe to join their colleague soldiers from the bivouac camp in the festivity of payday. Wilbert Lee was the one who hosted the party, a 28-year-old practically illiterate worker whom Pitts knew by the epithet "Slingshot."</w:t>
      </w:r>
    </w:p>
    <w:p w:rsidR="00DB39F5" w:rsidRPr="00DB39F5" w:rsidRDefault="00DB39F5" w:rsidP="003C367D">
      <w:pPr>
        <w:pStyle w:val="NormalWeb"/>
        <w:spacing w:before="0" w:beforeAutospacing="0" w:after="0" w:afterAutospacing="0" w:line="480" w:lineRule="auto"/>
        <w:ind w:firstLine="720"/>
        <w:jc w:val="both"/>
        <w:rPr>
          <w:color w:val="0E101A"/>
        </w:rPr>
      </w:pPr>
      <w:r w:rsidRPr="00DB39F5">
        <w:rPr>
          <w:color w:val="0E101A"/>
        </w:rPr>
        <w:t>Following two or three hours of celebrating, Lee disclosed to Pitts that he needed to make a call. There was no telephone at the shanty, so Pitts offered to drive Lee to the closest Payphone — at Skipper's Mo-Jo. Two ladies, a man, and a young man climbed into the old Ford with them. While Lee was making a call, which was in a corner outside the station, the ladies got into a contention with the white attendants, Jesse Burkett and Grover Floyd Jr</w:t>
      </w:r>
      <w:r w:rsidR="00FD60F0">
        <w:rPr>
          <w:color w:val="0E101A"/>
        </w:rPr>
        <w:t>.</w:t>
      </w:r>
      <w:r w:rsidRPr="00DB39F5">
        <w:rPr>
          <w:color w:val="0E101A"/>
        </w:rPr>
        <w:t>, on the grounds that the ladies were not allowed to use a "White Ladies Only" washroom — an occurrence that, the following day, would uplift the Gulf County sheriff's doubt of two, Lee and Pitts</w:t>
      </w:r>
      <w:r w:rsidRPr="00DB39F5">
        <w:rPr>
          <w:color w:val="0E101A"/>
        </w:rPr>
        <w:t>, (</w:t>
      </w:r>
      <w:r w:rsidRPr="00DB39F5">
        <w:rPr>
          <w:color w:val="222222"/>
          <w:shd w:val="clear" w:color="auto" w:fill="FFFFFF"/>
        </w:rPr>
        <w:t>Johnston, 2013)</w:t>
      </w:r>
      <w:r w:rsidRPr="00DB39F5">
        <w:rPr>
          <w:color w:val="0E101A"/>
        </w:rPr>
        <w:t>.</w:t>
      </w:r>
    </w:p>
    <w:p w:rsidR="00DB39F5" w:rsidRPr="00DB39F5" w:rsidRDefault="00DB39F5" w:rsidP="003C367D">
      <w:pPr>
        <w:pStyle w:val="NormalWeb"/>
        <w:spacing w:before="0" w:beforeAutospacing="0" w:after="0" w:afterAutospacing="0" w:line="480" w:lineRule="auto"/>
        <w:ind w:firstLine="720"/>
        <w:jc w:val="both"/>
        <w:rPr>
          <w:color w:val="0E101A"/>
        </w:rPr>
      </w:pPr>
      <w:r w:rsidRPr="00DB39F5">
        <w:rPr>
          <w:color w:val="0E101A"/>
        </w:rPr>
        <w:t xml:space="preserve">There were a few observers to the washroom episode, including two white youngsters, an older dark man, and a youthful dark lady. The dark lady was a 19-year-old unwed mother named Willie Mae Lee. She was not identified with Wilbert Lee, in spite of the fact that they were friends. She had gone to the station with the more established dark man, however, left with the Lee and </w:t>
      </w:r>
      <w:r w:rsidR="00FD60F0" w:rsidRPr="00DB39F5">
        <w:rPr>
          <w:color w:val="0E101A"/>
        </w:rPr>
        <w:t>Pitt’s</w:t>
      </w:r>
      <w:r w:rsidRPr="00DB39F5">
        <w:rPr>
          <w:color w:val="0E101A"/>
        </w:rPr>
        <w:t xml:space="preserve"> group to join the payday party that was hosted in the shanty.</w:t>
      </w:r>
    </w:p>
    <w:p w:rsidR="00DB39F5" w:rsidRPr="00DB39F5" w:rsidRDefault="00DB39F5" w:rsidP="003C367D">
      <w:pPr>
        <w:pStyle w:val="NormalWeb"/>
        <w:spacing w:before="0" w:beforeAutospacing="0" w:after="0" w:afterAutospacing="0" w:line="480" w:lineRule="auto"/>
        <w:ind w:firstLine="720"/>
        <w:jc w:val="both"/>
        <w:rPr>
          <w:color w:val="0E101A"/>
        </w:rPr>
      </w:pPr>
      <w:r w:rsidRPr="00DB39F5">
        <w:rPr>
          <w:color w:val="0E101A"/>
        </w:rPr>
        <w:t xml:space="preserve">When Burkett and Floyd vanished, Willie Mae was among the key people addressed by those who were investigating the matter. Her essential investigator was Joe R. Townsend, a polygraph administrator who had as of late joined the Florida State Crime Laboratory that is based in Tallahassee. Weeks sooner, Townsend had suddenly finished an Air Force profession under </w:t>
      </w:r>
      <w:r w:rsidR="00FD60F0" w:rsidRPr="00DB39F5">
        <w:rPr>
          <w:color w:val="0E101A"/>
        </w:rPr>
        <w:t>unfavorable</w:t>
      </w:r>
      <w:r w:rsidRPr="00DB39F5">
        <w:rPr>
          <w:color w:val="0E101A"/>
        </w:rPr>
        <w:t xml:space="preserve"> conditions. He had removed a false confession from a pilot to a twofold homicide in </w:t>
      </w:r>
      <w:r w:rsidRPr="00DB39F5">
        <w:rPr>
          <w:color w:val="0E101A"/>
        </w:rPr>
        <w:lastRenderedPageBreak/>
        <w:t>Idaho. The pilot, Joseph Shea, had enduringly proclaimed his blamelessness during two throughout the night cross-examination meetings, however, at long last broke when he was cheated that he had terribly failed a polygraph test and that his fiancé had implicated him.</w:t>
      </w:r>
    </w:p>
    <w:p w:rsidR="00DB39F5" w:rsidRPr="00DB39F5" w:rsidRDefault="00DB39F5" w:rsidP="003C367D">
      <w:pPr>
        <w:pStyle w:val="NormalWeb"/>
        <w:spacing w:before="0" w:beforeAutospacing="0" w:after="0" w:afterAutospacing="0" w:line="480" w:lineRule="auto"/>
        <w:ind w:firstLine="720"/>
        <w:jc w:val="both"/>
        <w:rPr>
          <w:color w:val="0E101A"/>
        </w:rPr>
      </w:pPr>
      <w:r w:rsidRPr="00DB39F5">
        <w:rPr>
          <w:color w:val="0E101A"/>
        </w:rPr>
        <w:t>Under comparable grilling from Townsend and others for more than four days, Willie Mae Lee denied knowing any the information that led to the Mo-Jo attendants’ death. At that point on August 5 the same year, two days after the men's bodies were discovered, she revealed to Townsend that she had been with the men who carried out the wrongdoing, depicting herself as an accidental accomplice of murder. A big problem before long got clear in Willie Mae's story, nonetheless, in that she identified the killers not as Lee and Pitts but as Lambson Smith and Pitts.</w:t>
      </w:r>
    </w:p>
    <w:p w:rsidR="00DB39F5" w:rsidRPr="00DB39F5" w:rsidRDefault="00DB39F5" w:rsidP="003C367D">
      <w:pPr>
        <w:pStyle w:val="NormalWeb"/>
        <w:spacing w:before="0" w:beforeAutospacing="0" w:after="0" w:afterAutospacing="0" w:line="480" w:lineRule="auto"/>
        <w:ind w:firstLine="720"/>
        <w:jc w:val="both"/>
        <w:rPr>
          <w:color w:val="0E101A"/>
        </w:rPr>
      </w:pPr>
      <w:r w:rsidRPr="00DB39F5">
        <w:rPr>
          <w:color w:val="0E101A"/>
        </w:rPr>
        <w:t>On August 6, the specialists of the law found out that Smith had a very strong vindication alibi. From that point, Willie Mae changed her record of the wrongdoing, at that point guarantee that the subsequent man had been Wilbert Lee all things considered. The move raised doubt about Willie Mae's veracity, yet that was an issue with which the authorities could and would deal — basically by not unveiling that she had ever referenced Lambson Smith in the same case.</w:t>
      </w:r>
    </w:p>
    <w:p w:rsidR="00DB39F5" w:rsidRPr="00DB39F5" w:rsidRDefault="00DB39F5" w:rsidP="003C367D">
      <w:pPr>
        <w:pStyle w:val="NormalWeb"/>
        <w:spacing w:before="0" w:beforeAutospacing="0" w:after="0" w:afterAutospacing="0" w:line="480" w:lineRule="auto"/>
        <w:ind w:firstLine="720"/>
        <w:jc w:val="both"/>
        <w:rPr>
          <w:color w:val="0E101A"/>
        </w:rPr>
      </w:pPr>
      <w:r w:rsidRPr="00DB39F5">
        <w:rPr>
          <w:color w:val="0E101A"/>
        </w:rPr>
        <w:t>Apparently, to maintain a strategic distance from the threat of lynching, Lee and Pitts were taken to adjoining Bay County, where they were grilled by Townsend and the politically powerful sheriff M.J. "Doc" Daffin. The investigators told the suspects there was no uncertainty about their guilt on the grounds that shoeprints that connected them to the murder. Actually, there were no shoeprints, and Lee and Pitts didn't succumb to the ploy, however they did in the end break — Pitts on August 8 and Lee the following day</w:t>
      </w:r>
      <w:r w:rsidRPr="00DB39F5">
        <w:rPr>
          <w:color w:val="0E101A"/>
        </w:rPr>
        <w:t>, (</w:t>
      </w:r>
      <w:r w:rsidRPr="00DB39F5">
        <w:rPr>
          <w:color w:val="222222"/>
          <w:shd w:val="clear" w:color="auto" w:fill="FFFFFF"/>
        </w:rPr>
        <w:t>Blume and Helm, 2014)</w:t>
      </w:r>
      <w:r w:rsidRPr="00DB39F5">
        <w:rPr>
          <w:color w:val="0E101A"/>
        </w:rPr>
        <w:t>.</w:t>
      </w:r>
    </w:p>
    <w:p w:rsidR="00DB39F5" w:rsidRPr="00DB39F5" w:rsidRDefault="00DB39F5" w:rsidP="00DB39F5">
      <w:pPr>
        <w:pStyle w:val="NormalWeb"/>
        <w:spacing w:before="0" w:beforeAutospacing="0" w:after="0" w:afterAutospacing="0" w:line="480" w:lineRule="auto"/>
        <w:ind w:firstLine="720"/>
        <w:jc w:val="both"/>
        <w:rPr>
          <w:color w:val="0E101A"/>
        </w:rPr>
      </w:pPr>
      <w:r w:rsidRPr="00DB39F5">
        <w:rPr>
          <w:color w:val="0E101A"/>
        </w:rPr>
        <w:t xml:space="preserve">The two Pitts and Lee gave point by point statements, which they would quickly recant, strongly believing that they had been tormented, compromised, and in different cases emotionally abused by Townsend and Daffin. Two hours after Pitts confessed what they were undergoing, he </w:t>
      </w:r>
      <w:r w:rsidRPr="00DB39F5">
        <w:rPr>
          <w:color w:val="0E101A"/>
        </w:rPr>
        <w:lastRenderedPageBreak/>
        <w:t>was met by two Army soldiers to whom he proclaimed his innocence and who noticed that he, in fact, seemed to have been truly mishandled. Their observations, however, would stay as a top-secret until they were investigated by Gene Miller, a reporter, years after.</w:t>
      </w:r>
    </w:p>
    <w:p w:rsidR="00DB39F5" w:rsidRPr="00DB39F5" w:rsidRDefault="00DB39F5" w:rsidP="003C367D">
      <w:pPr>
        <w:pStyle w:val="NormalWeb"/>
        <w:spacing w:before="0" w:beforeAutospacing="0" w:after="0" w:afterAutospacing="0" w:line="480" w:lineRule="auto"/>
        <w:ind w:firstLine="720"/>
        <w:jc w:val="both"/>
        <w:rPr>
          <w:color w:val="0E101A"/>
        </w:rPr>
      </w:pPr>
      <w:r w:rsidRPr="00DB39F5">
        <w:rPr>
          <w:color w:val="0E101A"/>
        </w:rPr>
        <w:t>Pitts and Lee went through longer than 10 years engaging their case. In 1964 they spoke to the Florida Supreme Court, claiming that the appointed authority for their situation had made procedural blunders. Be that as it may, the Court governed against them. They at that point recorded a movement questioning the organization of the jury that had sentenced them, and after the preliminary court ruled against them, they spoke to the Florida First District Court of Appeal. The Court maintained the lower court's decision of giving the two a death penalty.</w:t>
      </w:r>
    </w:p>
    <w:p w:rsidR="00DB39F5" w:rsidRPr="00DB39F5" w:rsidRDefault="00DB39F5" w:rsidP="00DB39F5">
      <w:pPr>
        <w:pStyle w:val="NormalWeb"/>
        <w:spacing w:before="0" w:beforeAutospacing="0" w:after="0" w:afterAutospacing="0" w:line="480" w:lineRule="auto"/>
        <w:ind w:firstLine="720"/>
        <w:jc w:val="both"/>
        <w:rPr>
          <w:color w:val="0E101A"/>
        </w:rPr>
      </w:pPr>
      <w:r w:rsidRPr="00DB39F5">
        <w:rPr>
          <w:color w:val="0E101A"/>
        </w:rPr>
        <w:t>Pitts and Lee recorded another attack of their fight for their rights in 1967. They contended a few focuses. They protested the way that one lawyer had spoken to them two, that their lawyer who had been opposing their capital punishment had not been included for the jury, they contended that their guilty plea depended was achieved through coercion, that their attorney had been insufficient, that the State had retained proof that supported their innocence of the murder case, and that Curtis Adams had admitted to the crime. Had Adams admitted to them committing the crime, however, the lady who charged them was currently saying that she had been pressured into fingering them. To make the matter worse, there was an impressive obstruction in the state in recognizing these facts</w:t>
      </w:r>
      <w:r w:rsidRPr="00DB39F5">
        <w:rPr>
          <w:color w:val="0E101A"/>
        </w:rPr>
        <w:t>, (</w:t>
      </w:r>
      <w:r w:rsidRPr="00DB39F5">
        <w:rPr>
          <w:color w:val="222222"/>
          <w:shd w:val="clear" w:color="auto" w:fill="FFFFFF"/>
        </w:rPr>
        <w:t>Thompson and Lopez, 2014)</w:t>
      </w:r>
      <w:r w:rsidRPr="00DB39F5">
        <w:rPr>
          <w:color w:val="0E101A"/>
        </w:rPr>
        <w:t>.</w:t>
      </w:r>
    </w:p>
    <w:p w:rsidR="00DB39F5" w:rsidRPr="00DB39F5" w:rsidRDefault="00DB39F5" w:rsidP="00DB39F5">
      <w:pPr>
        <w:pStyle w:val="NormalWeb"/>
        <w:spacing w:before="0" w:beforeAutospacing="0" w:after="0" w:afterAutospacing="0" w:line="480" w:lineRule="auto"/>
        <w:ind w:firstLine="720"/>
        <w:jc w:val="both"/>
        <w:rPr>
          <w:color w:val="0E101A"/>
        </w:rPr>
      </w:pPr>
      <w:r w:rsidRPr="00DB39F5">
        <w:rPr>
          <w:color w:val="0E101A"/>
        </w:rPr>
        <w:t>Later on, Arthur Canaday, who was the General Counsel to the Governor, read miller’s copy </w:t>
      </w:r>
      <w:r w:rsidRPr="00DB39F5">
        <w:rPr>
          <w:rStyle w:val="Emphasis"/>
          <w:color w:val="0E101A"/>
        </w:rPr>
        <w:t>invitation to a Lynching </w:t>
      </w:r>
      <w:r w:rsidRPr="00DB39F5">
        <w:rPr>
          <w:color w:val="0E101A"/>
        </w:rPr>
        <w:t>and noted that the two might have been innocent all along. The Governor two read the investigation case and realized that the two were innocent. The governor called the three members of the cabinet and signed a pardon that freed Pitts and Lee.</w:t>
      </w:r>
    </w:p>
    <w:p w:rsidR="00DB39F5" w:rsidRPr="00DB39F5" w:rsidRDefault="00DB39F5" w:rsidP="00DB39F5">
      <w:pPr>
        <w:pStyle w:val="NormalWeb"/>
        <w:spacing w:before="0" w:beforeAutospacing="0" w:after="0" w:afterAutospacing="0" w:line="480" w:lineRule="auto"/>
        <w:ind w:firstLine="720"/>
        <w:jc w:val="both"/>
        <w:rPr>
          <w:color w:val="0E101A"/>
        </w:rPr>
      </w:pPr>
      <w:r w:rsidRPr="00DB39F5">
        <w:rPr>
          <w:color w:val="0E101A"/>
        </w:rPr>
        <w:lastRenderedPageBreak/>
        <w:t>In summary, both Pitt and Lee went through hell while seeking justice for the murder case that they had not committed. The authorities made several mistakes in order to make the two black men to be convicted and given a death penalty. However, some of the efforts bared fruits after the general counsel and governor looked deeply into the matter and realized that the two were innocent. Both Pitt and Lee were set free after twelve years in prison.</w:t>
      </w:r>
    </w:p>
    <w:p w:rsidR="00DB39F5" w:rsidRPr="00DB39F5" w:rsidRDefault="00DB39F5" w:rsidP="00DB39F5">
      <w:pPr>
        <w:spacing w:line="480" w:lineRule="auto"/>
        <w:ind w:firstLine="720"/>
        <w:jc w:val="both"/>
        <w:rPr>
          <w:rFonts w:ascii="Times New Roman" w:hAnsi="Times New Roman" w:cs="Times New Roman"/>
          <w:sz w:val="24"/>
          <w:szCs w:val="24"/>
        </w:rPr>
      </w:pPr>
      <w:r w:rsidRPr="00DB39F5">
        <w:rPr>
          <w:rFonts w:ascii="Times New Roman" w:hAnsi="Times New Roman" w:cs="Times New Roman"/>
          <w:sz w:val="24"/>
          <w:szCs w:val="24"/>
        </w:rPr>
        <w:br w:type="page"/>
      </w:r>
      <w:bookmarkStart w:id="0" w:name="_GoBack"/>
      <w:bookmarkEnd w:id="0"/>
    </w:p>
    <w:p w:rsidR="008D6031" w:rsidRPr="00DB39F5" w:rsidRDefault="00DB39F5" w:rsidP="00FD60F0">
      <w:pPr>
        <w:spacing w:line="480" w:lineRule="auto"/>
        <w:ind w:firstLine="720"/>
        <w:jc w:val="center"/>
        <w:rPr>
          <w:rFonts w:ascii="Times New Roman" w:hAnsi="Times New Roman" w:cs="Times New Roman"/>
          <w:sz w:val="24"/>
          <w:szCs w:val="24"/>
        </w:rPr>
      </w:pPr>
      <w:r w:rsidRPr="00DB39F5">
        <w:rPr>
          <w:rFonts w:ascii="Times New Roman" w:hAnsi="Times New Roman" w:cs="Times New Roman"/>
          <w:sz w:val="24"/>
          <w:szCs w:val="24"/>
        </w:rPr>
        <w:lastRenderedPageBreak/>
        <w:t>References</w:t>
      </w:r>
    </w:p>
    <w:p w:rsidR="00DB39F5" w:rsidRPr="00DB39F5" w:rsidRDefault="00DB39F5" w:rsidP="00FD60F0">
      <w:pPr>
        <w:spacing w:line="480" w:lineRule="auto"/>
        <w:ind w:left="1440" w:hanging="720"/>
        <w:jc w:val="both"/>
        <w:rPr>
          <w:rFonts w:ascii="Times New Roman" w:hAnsi="Times New Roman" w:cs="Times New Roman"/>
          <w:color w:val="222222"/>
          <w:sz w:val="24"/>
          <w:szCs w:val="24"/>
          <w:shd w:val="clear" w:color="auto" w:fill="FFFFFF"/>
        </w:rPr>
      </w:pPr>
      <w:r w:rsidRPr="00DB39F5">
        <w:rPr>
          <w:rFonts w:ascii="Times New Roman" w:hAnsi="Times New Roman" w:cs="Times New Roman"/>
          <w:color w:val="222222"/>
          <w:sz w:val="24"/>
          <w:szCs w:val="24"/>
          <w:shd w:val="clear" w:color="auto" w:fill="FFFFFF"/>
        </w:rPr>
        <w:t>Carlyle, P., Walker, A. K., Pitt, S. B., Freeman, M., Paltrow, G., Spacey, K., ... &amp; Khondji, C. D. (1995). Seven (film). </w:t>
      </w:r>
      <w:r w:rsidRPr="00DB39F5">
        <w:rPr>
          <w:rFonts w:ascii="Times New Roman" w:hAnsi="Times New Roman" w:cs="Times New Roman"/>
          <w:i/>
          <w:iCs/>
          <w:color w:val="222222"/>
          <w:sz w:val="24"/>
          <w:szCs w:val="24"/>
          <w:shd w:val="clear" w:color="auto" w:fill="FFFFFF"/>
        </w:rPr>
        <w:t>New Line Cinema</w:t>
      </w:r>
      <w:r w:rsidRPr="00DB39F5">
        <w:rPr>
          <w:rFonts w:ascii="Times New Roman" w:hAnsi="Times New Roman" w:cs="Times New Roman"/>
          <w:color w:val="222222"/>
          <w:sz w:val="24"/>
          <w:szCs w:val="24"/>
          <w:shd w:val="clear" w:color="auto" w:fill="FFFFFF"/>
        </w:rPr>
        <w:t>.</w:t>
      </w:r>
    </w:p>
    <w:p w:rsidR="00DB39F5" w:rsidRPr="00DB39F5" w:rsidRDefault="00DB39F5" w:rsidP="00FD60F0">
      <w:pPr>
        <w:spacing w:line="480" w:lineRule="auto"/>
        <w:ind w:left="1440" w:hanging="720"/>
        <w:jc w:val="both"/>
        <w:rPr>
          <w:rFonts w:ascii="Times New Roman" w:hAnsi="Times New Roman" w:cs="Times New Roman"/>
          <w:color w:val="222222"/>
          <w:sz w:val="24"/>
          <w:szCs w:val="24"/>
          <w:shd w:val="clear" w:color="auto" w:fill="FFFFFF"/>
        </w:rPr>
      </w:pPr>
      <w:r w:rsidRPr="00DB39F5">
        <w:rPr>
          <w:rFonts w:ascii="Times New Roman" w:hAnsi="Times New Roman" w:cs="Times New Roman"/>
          <w:color w:val="222222"/>
          <w:sz w:val="24"/>
          <w:szCs w:val="24"/>
          <w:shd w:val="clear" w:color="auto" w:fill="FFFFFF"/>
        </w:rPr>
        <w:t>Johnston, K. R. (2013). </w:t>
      </w:r>
      <w:r w:rsidRPr="00DB39F5">
        <w:rPr>
          <w:rFonts w:ascii="Times New Roman" w:hAnsi="Times New Roman" w:cs="Times New Roman"/>
          <w:i/>
          <w:iCs/>
          <w:color w:val="222222"/>
          <w:sz w:val="24"/>
          <w:szCs w:val="24"/>
          <w:shd w:val="clear" w:color="auto" w:fill="FFFFFF"/>
        </w:rPr>
        <w:t>Unusual suspects: Pitt's Reign of Alarm and the lost generation of the 1790s</w:t>
      </w:r>
      <w:r w:rsidRPr="00DB39F5">
        <w:rPr>
          <w:rFonts w:ascii="Times New Roman" w:hAnsi="Times New Roman" w:cs="Times New Roman"/>
          <w:color w:val="222222"/>
          <w:sz w:val="24"/>
          <w:szCs w:val="24"/>
          <w:shd w:val="clear" w:color="auto" w:fill="FFFFFF"/>
        </w:rPr>
        <w:t>. OUP Oxford.</w:t>
      </w:r>
    </w:p>
    <w:p w:rsidR="00DB39F5" w:rsidRPr="00DB39F5" w:rsidRDefault="00DB39F5" w:rsidP="00FD60F0">
      <w:pPr>
        <w:spacing w:line="480" w:lineRule="auto"/>
        <w:ind w:left="1440" w:hanging="720"/>
        <w:jc w:val="both"/>
        <w:rPr>
          <w:rFonts w:ascii="Times New Roman" w:hAnsi="Times New Roman" w:cs="Times New Roman"/>
          <w:color w:val="222222"/>
          <w:sz w:val="24"/>
          <w:szCs w:val="24"/>
          <w:shd w:val="clear" w:color="auto" w:fill="FFFFFF"/>
        </w:rPr>
      </w:pPr>
      <w:r w:rsidRPr="00DB39F5">
        <w:rPr>
          <w:rFonts w:ascii="Times New Roman" w:hAnsi="Times New Roman" w:cs="Times New Roman"/>
          <w:color w:val="222222"/>
          <w:sz w:val="24"/>
          <w:szCs w:val="24"/>
          <w:shd w:val="clear" w:color="auto" w:fill="FFFFFF"/>
        </w:rPr>
        <w:t>Blume, J. H., &amp; Helm, R. K. (2014). The unexonerated: Factually innocent defendants who plead guilty. </w:t>
      </w:r>
      <w:r w:rsidRPr="00DB39F5">
        <w:rPr>
          <w:rFonts w:ascii="Times New Roman" w:hAnsi="Times New Roman" w:cs="Times New Roman"/>
          <w:i/>
          <w:iCs/>
          <w:color w:val="222222"/>
          <w:sz w:val="24"/>
          <w:szCs w:val="24"/>
          <w:shd w:val="clear" w:color="auto" w:fill="FFFFFF"/>
        </w:rPr>
        <w:t>Cornell L. Rev.</w:t>
      </w:r>
      <w:r w:rsidRPr="00DB39F5">
        <w:rPr>
          <w:rFonts w:ascii="Times New Roman" w:hAnsi="Times New Roman" w:cs="Times New Roman"/>
          <w:color w:val="222222"/>
          <w:sz w:val="24"/>
          <w:szCs w:val="24"/>
          <w:shd w:val="clear" w:color="auto" w:fill="FFFFFF"/>
        </w:rPr>
        <w:t>, </w:t>
      </w:r>
      <w:r w:rsidRPr="00DB39F5">
        <w:rPr>
          <w:rFonts w:ascii="Times New Roman" w:hAnsi="Times New Roman" w:cs="Times New Roman"/>
          <w:i/>
          <w:iCs/>
          <w:color w:val="222222"/>
          <w:sz w:val="24"/>
          <w:szCs w:val="24"/>
          <w:shd w:val="clear" w:color="auto" w:fill="FFFFFF"/>
        </w:rPr>
        <w:t>100</w:t>
      </w:r>
      <w:r w:rsidRPr="00DB39F5">
        <w:rPr>
          <w:rFonts w:ascii="Times New Roman" w:hAnsi="Times New Roman" w:cs="Times New Roman"/>
          <w:color w:val="222222"/>
          <w:sz w:val="24"/>
          <w:szCs w:val="24"/>
          <w:shd w:val="clear" w:color="auto" w:fill="FFFFFF"/>
        </w:rPr>
        <w:t>, 157.</w:t>
      </w:r>
    </w:p>
    <w:p w:rsidR="00DB39F5" w:rsidRPr="00DB39F5" w:rsidRDefault="00DB39F5" w:rsidP="00FD60F0">
      <w:pPr>
        <w:spacing w:line="480" w:lineRule="auto"/>
        <w:ind w:left="1440" w:hanging="720"/>
        <w:jc w:val="both"/>
        <w:rPr>
          <w:rFonts w:ascii="Times New Roman" w:hAnsi="Times New Roman" w:cs="Times New Roman"/>
          <w:sz w:val="24"/>
          <w:szCs w:val="24"/>
        </w:rPr>
      </w:pPr>
      <w:r w:rsidRPr="00DB39F5">
        <w:rPr>
          <w:rFonts w:ascii="Times New Roman" w:hAnsi="Times New Roman" w:cs="Times New Roman"/>
          <w:color w:val="222222"/>
          <w:sz w:val="24"/>
          <w:szCs w:val="24"/>
          <w:shd w:val="clear" w:color="auto" w:fill="FFFFFF"/>
        </w:rPr>
        <w:t>Thompson, B. Dr. Lopez ENGL 3080 9 December 2014 The Necessity of Plea Bargaining.</w:t>
      </w:r>
    </w:p>
    <w:sectPr w:rsidR="00DB39F5" w:rsidRPr="00DB39F5" w:rsidSect="003C36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82E" w:rsidRDefault="0071782E" w:rsidP="003C367D">
      <w:pPr>
        <w:spacing w:after="0" w:line="240" w:lineRule="auto"/>
      </w:pPr>
      <w:r>
        <w:separator/>
      </w:r>
    </w:p>
  </w:endnote>
  <w:endnote w:type="continuationSeparator" w:id="0">
    <w:p w:rsidR="0071782E" w:rsidRDefault="0071782E" w:rsidP="003C3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82E" w:rsidRDefault="0071782E" w:rsidP="003C367D">
      <w:pPr>
        <w:spacing w:after="0" w:line="240" w:lineRule="auto"/>
      </w:pPr>
      <w:r>
        <w:separator/>
      </w:r>
    </w:p>
  </w:footnote>
  <w:footnote w:type="continuationSeparator" w:id="0">
    <w:p w:rsidR="0071782E" w:rsidRDefault="0071782E" w:rsidP="003C36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9278114"/>
      <w:docPartObj>
        <w:docPartGallery w:val="Page Numbers (Top of Page)"/>
        <w:docPartUnique/>
      </w:docPartObj>
    </w:sdtPr>
    <w:sdtEndPr>
      <w:rPr>
        <w:noProof/>
      </w:rPr>
    </w:sdtEndPr>
    <w:sdtContent>
      <w:p w:rsidR="003C367D" w:rsidRPr="003C367D" w:rsidRDefault="003C367D" w:rsidP="003C367D">
        <w:pPr>
          <w:pStyle w:val="NormalWeb"/>
          <w:spacing w:before="0" w:beforeAutospacing="0" w:after="0" w:afterAutospacing="0" w:line="480" w:lineRule="auto"/>
          <w:jc w:val="both"/>
        </w:pPr>
        <w:r w:rsidRPr="003C367D">
          <w:rPr>
            <w:color w:val="0E101A"/>
          </w:rPr>
          <w:t>Pitts vs. Florida</w:t>
        </w:r>
        <w:r w:rsidRPr="003C367D">
          <w:rPr>
            <w:color w:val="0E101A"/>
          </w:rPr>
          <w:t xml:space="preserve">                 </w:t>
        </w:r>
        <w:r>
          <w:rPr>
            <w:color w:val="0E101A"/>
          </w:rPr>
          <w:t xml:space="preserve">       </w:t>
        </w:r>
        <w:r w:rsidRPr="003C367D">
          <w:rPr>
            <w:color w:val="0E101A"/>
          </w:rPr>
          <w:t xml:space="preserve">                                                                                                            </w:t>
        </w:r>
        <w:r w:rsidRPr="003C367D">
          <w:fldChar w:fldCharType="begin"/>
        </w:r>
        <w:r w:rsidRPr="003C367D">
          <w:instrText xml:space="preserve"> PAGE   \* MERGEFORMAT </w:instrText>
        </w:r>
        <w:r w:rsidRPr="003C367D">
          <w:fldChar w:fldCharType="separate"/>
        </w:r>
        <w:r>
          <w:rPr>
            <w:noProof/>
          </w:rPr>
          <w:t>6</w:t>
        </w:r>
        <w:r w:rsidRPr="003C367D">
          <w:rPr>
            <w:noProof/>
          </w:rPr>
          <w:fldChar w:fldCharType="end"/>
        </w:r>
      </w:p>
    </w:sdtContent>
  </w:sdt>
  <w:p w:rsidR="003C367D" w:rsidRPr="003C367D" w:rsidRDefault="003C367D">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67D" w:rsidRPr="003C367D" w:rsidRDefault="003C367D" w:rsidP="003C367D">
    <w:pPr>
      <w:pStyle w:val="NormalWeb"/>
      <w:spacing w:before="0" w:beforeAutospacing="0" w:after="0" w:afterAutospacing="0" w:line="480" w:lineRule="auto"/>
      <w:jc w:val="both"/>
      <w:rPr>
        <w:b/>
        <w:color w:val="0E101A"/>
      </w:rPr>
    </w:pPr>
    <w:r>
      <w:rPr>
        <w:color w:val="0E101A"/>
      </w:rPr>
      <w:t xml:space="preserve">Running Head: </w:t>
    </w:r>
    <w:r w:rsidRPr="003C367D">
      <w:rPr>
        <w:b/>
        <w:color w:val="0E101A"/>
      </w:rPr>
      <w:t>PITTS VS. FLORIDA</w:t>
    </w:r>
    <w:r>
      <w:rPr>
        <w:b/>
        <w:color w:val="0E101A"/>
      </w:rPr>
      <w:t xml:space="preserve">                                                                                                                          1</w:t>
    </w:r>
  </w:p>
  <w:p w:rsidR="003C367D" w:rsidRDefault="003C36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A85"/>
    <w:rsid w:val="00217CC7"/>
    <w:rsid w:val="00324A85"/>
    <w:rsid w:val="00346165"/>
    <w:rsid w:val="003C367D"/>
    <w:rsid w:val="006374D7"/>
    <w:rsid w:val="006A7DAD"/>
    <w:rsid w:val="0070759E"/>
    <w:rsid w:val="0071782E"/>
    <w:rsid w:val="008D6031"/>
    <w:rsid w:val="009A5256"/>
    <w:rsid w:val="00A44517"/>
    <w:rsid w:val="00A74577"/>
    <w:rsid w:val="00B87E8A"/>
    <w:rsid w:val="00DB39F5"/>
    <w:rsid w:val="00F64B0B"/>
    <w:rsid w:val="00F67077"/>
    <w:rsid w:val="00FD6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A49E3-22DD-4951-A0C7-0ADF132CF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39F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B39F5"/>
    <w:rPr>
      <w:i/>
      <w:iCs/>
    </w:rPr>
  </w:style>
  <w:style w:type="paragraph" w:styleId="Header">
    <w:name w:val="header"/>
    <w:basedOn w:val="Normal"/>
    <w:link w:val="HeaderChar"/>
    <w:uiPriority w:val="99"/>
    <w:unhideWhenUsed/>
    <w:rsid w:val="003C3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67D"/>
  </w:style>
  <w:style w:type="paragraph" w:styleId="Footer">
    <w:name w:val="footer"/>
    <w:basedOn w:val="Normal"/>
    <w:link w:val="FooterChar"/>
    <w:uiPriority w:val="99"/>
    <w:unhideWhenUsed/>
    <w:rsid w:val="003C3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40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7</Pages>
  <Words>1380</Words>
  <Characters>7871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2020-05-03T23:03:00Z</dcterms:created>
  <dcterms:modified xsi:type="dcterms:W3CDTF">2020-05-04T04:25:00Z</dcterms:modified>
</cp:coreProperties>
</file>